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710CCA7" w:rsidR="009351B9" w:rsidRDefault="002935ED">
      <w:pP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Новый уровень кадастрового учета</w:t>
      </w:r>
    </w:p>
    <w:p w14:paraId="00000002" w14:textId="77777777"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0000003" w14:textId="683E75BF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Государственную Думу внесен законопроект, направленный на повышение качества и доступности государственной услуги по осуществлению кадастрового учета объектов недвижимости и государственной регистрации прав на них. Законопроект в числе прочего предусматривает право ФГБУ «ФКП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случаях, установленных Правительством Российской Федерации, выполнять кадастровые работы.</w:t>
      </w:r>
    </w:p>
    <w:p w14:paraId="00000004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настоящий момент в России работают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109 кадастровых инженеров (состоят в саморегулируемых организациях). О</w:t>
      </w:r>
      <w:r>
        <w:rPr>
          <w:rFonts w:ascii="Times New Roman" w:eastAsia="Times New Roman" w:hAnsi="Times New Roman" w:cs="Times New Roman"/>
          <w:sz w:val="24"/>
          <w:szCs w:val="24"/>
        </w:rPr>
        <w:t>ни получат новые возможности для осуществления своей деятельности, будут созданы дополнительные рабочие места, а для клиентов услуги будут оказываться более качественно.</w:t>
      </w:r>
    </w:p>
    <w:p w14:paraId="00000005" w14:textId="77777777"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Что предлагается изменить</w:t>
      </w:r>
    </w:p>
    <w:p w14:paraId="00000007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законопроект закрепляет ряд полномочий органа регистрации прав за ФГБУ «ФКП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и полномочия по выполнению кадастровых работ в качестве «государственного кадастрового инженера» в установленных Правительством РФ случаях. Предлагаемые изменения не содержат положений, предусматривающих какую-либо монополию государственного учреждения на осуществление кадастровой деятельности и деятельности по подготовке документов для внесения сведений в реестр границ. </w:t>
      </w:r>
    </w:p>
    <w:p w14:paraId="00000008" w14:textId="77777777" w:rsidR="009351B9" w:rsidRDefault="00CE0F10" w:rsidP="002935E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принятия законопроекта все кадастровые инженеры будут так же работать в рамках единого правового поля на условиях, предусмотренных законодательством о конкуренции. Более того, у них появится дополнительная возможность трудоустроиться в Федеральную кадастровую палату и гарантированно принимать участие в государственных проектах.</w:t>
      </w:r>
    </w:p>
    <w:p w14:paraId="00000009" w14:textId="77777777"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Поддержка реализации масштабных государственных задач</w:t>
      </w:r>
    </w:p>
    <w:p w14:paraId="0000000B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подход направлен на решение задач по завершению кадастрового учета государственного имущества, определение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 </w:t>
      </w:r>
    </w:p>
    <w:p w14:paraId="0000000C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Важнейшей задачей для выполнения национальных проектов является обеспечение высоких темпов строительства новых объектов. Принятие данного законопроекта способствует этому и позволит повысить качество предоставления услуг по кадастровому учету и оформлению прав для государственных и муниципальных объектов, сократить сроки и затраты для людей.</w:t>
      </w:r>
    </w:p>
    <w:p w14:paraId="0000000D" w14:textId="77777777"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 – клиент </w:t>
      </w:r>
    </w:p>
    <w:p w14:paraId="0000000F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проведения кадастровых работ ненадлежащего качества возникают риски внесения недостоверных сведений в один из важнейших государственных информационных ресурсов страны – Единый государственный реестр недвижимости. Сведения о характеристиках объектов недвижимости, содержащиеся в ЕГРН, являются гарантией права собственности, а также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определяющими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установлении размера кадастровой стоимости, которая, в свою очередь, необходима для исчисления имущественных налогов и сборов. Ошибки в этих данных могут привести к существенным рискам для правообладателей и налогоплательщиков.</w:t>
      </w:r>
    </w:p>
    <w:p w14:paraId="00000010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Больше всего рисков возникает при реализации масштабных проектов в силу их сложности и необходимости применения комплексного подхода в условиях ограниченных сроков. Например, такие риски проявились при выполнении кадастровых работ в отношении объектов Минобороны России, спортивных объектов, возведенных для проведения чемпионата мира по футболу в 2018 году, и других объектов федерального значения. </w:t>
      </w:r>
    </w:p>
    <w:p w14:paraId="00000011" w14:textId="77777777"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Будет развиваться сервис «Личный кабинет кадастрового инженера»</w:t>
      </w:r>
    </w:p>
    <w:p w14:paraId="00000013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Закрепление новых полномочий за Федеральной кадастровой палатой позволит повысить эффективность системы государственного кадастрового учета и регистрации прав в целом. Прежде всего в части минимизации количества приостановок и отказов, сокращения сроков и издержек заявителей.</w:t>
      </w:r>
    </w:p>
    <w:p w14:paraId="00000014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Законопроектом также предусмотрено развитие электронного сервиса «Личный кабинет кадастрового инженера», что позволит вывести процесс информационного взаимодействия кадастрового инженера и органа регистрации на новый уровень и сделать его более прозрачным, доступным и эффективным. </w:t>
      </w:r>
    </w:p>
    <w:p w14:paraId="00000015" w14:textId="77777777" w:rsidR="009351B9" w:rsidRDefault="009351B9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Лучшие международные практики</w:t>
      </w:r>
    </w:p>
    <w:p w14:paraId="00000017" w14:textId="77777777" w:rsidR="009351B9" w:rsidRDefault="00CE0F10" w:rsidP="002935ED">
      <w:pPr>
        <w:spacing w:before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Модель «государственного» кадастрового инженера в качестве основной применяется в развитых странах, в том числе с совмещением с частным рынком кадастровых работ. Например, в Швеции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Финляндии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кадастрового учета и регистрации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государственной функцией. Аналогичная ситуация в Норвегии, где функции кадастровых инженеров выполняют сотрудники муниципалитетов.</w:t>
      </w:r>
    </w:p>
    <w:p w14:paraId="00000018" w14:textId="77777777" w:rsidR="009351B9" w:rsidRDefault="00CE0F1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Белоруссии государственные кадастровые инженеры составляют 90%. В Литве и Нидерландах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и частные кадастровые инженеры работают в партнёрстве.</w:t>
      </w:r>
    </w:p>
    <w:sectPr w:rsidR="009351B9">
      <w:foot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60535" w14:textId="77777777" w:rsidR="00A30B86" w:rsidRDefault="00A30B86">
      <w:r>
        <w:separator/>
      </w:r>
    </w:p>
  </w:endnote>
  <w:endnote w:type="continuationSeparator" w:id="0">
    <w:p w14:paraId="68116D77" w14:textId="77777777" w:rsidR="00A30B86" w:rsidRDefault="00A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4E6190A7" w:rsidR="009351B9" w:rsidRDefault="00CE0F10">
    <w:pPr>
      <w:jc w:val="right"/>
    </w:pPr>
    <w:r>
      <w:fldChar w:fldCharType="begin"/>
    </w:r>
    <w:r>
      <w:instrText>PAGE</w:instrText>
    </w:r>
    <w:r>
      <w:fldChar w:fldCharType="separate"/>
    </w:r>
    <w:r w:rsidR="002935ED">
      <w:rPr>
        <w:noProof/>
      </w:rPr>
      <w:t>2</w:t>
    </w:r>
    <w:r>
      <w:fldChar w:fldCharType="end"/>
    </w:r>
  </w:p>
  <w:p w14:paraId="0000001A" w14:textId="77777777" w:rsidR="009351B9" w:rsidRDefault="009351B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9B629" w14:textId="77777777" w:rsidR="00A30B86" w:rsidRDefault="00A30B86">
      <w:r>
        <w:separator/>
      </w:r>
    </w:p>
  </w:footnote>
  <w:footnote w:type="continuationSeparator" w:id="0">
    <w:p w14:paraId="232E03A2" w14:textId="77777777" w:rsidR="00A30B86" w:rsidRDefault="00A3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B9"/>
    <w:rsid w:val="00254028"/>
    <w:rsid w:val="002935ED"/>
    <w:rsid w:val="006C6A53"/>
    <w:rsid w:val="009351B9"/>
    <w:rsid w:val="00A30B86"/>
    <w:rsid w:val="00C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FC41"/>
  <w15:docId w15:val="{9023FDA9-2712-45F0-B804-F91D0C10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1"/>
    </w:pPr>
    <w:rPr>
      <w:rFonts w:ascii="XO Thames" w:eastAsia="XO Thames" w:hAnsi="XO Thames" w:cs="XO Thames"/>
      <w:b/>
      <w:color w:val="00A0FF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after="160" w:line="264" w:lineRule="auto"/>
      <w:outlineLvl w:val="2"/>
    </w:pPr>
    <w:rPr>
      <w:rFonts w:ascii="XO Thames" w:eastAsia="XO Thames" w:hAnsi="XO Thames" w:cs="XO Thames"/>
      <w:b/>
      <w:i/>
      <w:color w:val="000000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3"/>
    </w:pPr>
    <w:rPr>
      <w:rFonts w:ascii="XO Thames" w:eastAsia="XO Thames" w:hAnsi="XO Thames" w:cs="XO Thames"/>
      <w:b/>
      <w:color w:val="595959"/>
      <w:sz w:val="26"/>
      <w:szCs w:val="26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b/>
      <w:color w:val="000000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i/>
      <w:color w:val="61616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Пользователь Windows</cp:lastModifiedBy>
  <cp:revision>3</cp:revision>
  <dcterms:created xsi:type="dcterms:W3CDTF">2020-06-19T08:50:00Z</dcterms:created>
  <dcterms:modified xsi:type="dcterms:W3CDTF">2020-06-22T11:53:00Z</dcterms:modified>
</cp:coreProperties>
</file>